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D02" w:rsidRDefault="000264ED">
      <w:pPr>
        <w:spacing w:line="580" w:lineRule="exact"/>
        <w:jc w:val="center"/>
        <w:rPr>
          <w:rFonts w:ascii="黑体" w:eastAsia="黑体" w:hAnsi="黑体"/>
          <w:sz w:val="44"/>
          <w:szCs w:val="44"/>
        </w:rPr>
      </w:pPr>
      <w:r>
        <w:rPr>
          <w:rFonts w:ascii="黑体" w:eastAsia="黑体" w:hAnsi="黑体" w:hint="eastAsia"/>
          <w:sz w:val="44"/>
          <w:szCs w:val="44"/>
        </w:rPr>
        <w:t>招投标评分办法</w:t>
      </w:r>
    </w:p>
    <w:p w:rsidR="00B07D02" w:rsidRDefault="00B07D02">
      <w:pPr>
        <w:spacing w:line="580" w:lineRule="exact"/>
        <w:rPr>
          <w:rFonts w:ascii="仿宋_GB2312" w:eastAsia="仿宋_GB2312"/>
          <w:sz w:val="28"/>
          <w:szCs w:val="28"/>
        </w:rPr>
      </w:pP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一、投标报价（满分</w:t>
      </w:r>
      <w:r>
        <w:rPr>
          <w:rFonts w:ascii="仿宋" w:eastAsia="仿宋" w:hAnsi="仿宋" w:hint="eastAsia"/>
          <w:sz w:val="28"/>
          <w:szCs w:val="28"/>
        </w:rPr>
        <w:t>40</w:t>
      </w:r>
      <w:r>
        <w:rPr>
          <w:rFonts w:ascii="仿宋" w:eastAsia="仿宋" w:hAnsi="仿宋" w:hint="eastAsia"/>
          <w:sz w:val="28"/>
          <w:szCs w:val="28"/>
        </w:rPr>
        <w:t>分）</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各投标人得分按照下列方式计算</w:t>
      </w:r>
    </w:p>
    <w:p w:rsidR="00B07D02" w:rsidRDefault="000264ED">
      <w:pPr>
        <w:spacing w:line="580" w:lineRule="exact"/>
        <w:ind w:firstLineChars="200" w:firstLine="527"/>
        <w:rPr>
          <w:rFonts w:ascii="仿宋" w:eastAsia="仿宋" w:hAnsi="仿宋"/>
          <w:sz w:val="28"/>
          <w:szCs w:val="28"/>
        </w:rPr>
      </w:pPr>
      <w:r>
        <w:rPr>
          <w:rFonts w:ascii="仿宋" w:eastAsia="仿宋" w:hAnsi="仿宋"/>
          <w:sz w:val="28"/>
          <w:szCs w:val="28"/>
        </w:rPr>
        <w:t>A</w:t>
      </w:r>
      <w:r>
        <w:rPr>
          <w:rFonts w:ascii="仿宋" w:eastAsia="仿宋" w:hAnsi="仿宋" w:hint="eastAsia"/>
          <w:sz w:val="28"/>
          <w:szCs w:val="28"/>
        </w:rPr>
        <w:t>、有效报价最高的投标人得满分</w:t>
      </w:r>
      <w:r w:rsidR="00987EF3">
        <w:rPr>
          <w:rFonts w:ascii="仿宋" w:eastAsia="仿宋" w:hAnsi="仿宋"/>
          <w:sz w:val="28"/>
          <w:szCs w:val="28"/>
        </w:rPr>
        <w:t>4</w:t>
      </w:r>
      <w:bookmarkStart w:id="0" w:name="_GoBack"/>
      <w:bookmarkEnd w:id="0"/>
      <w:r>
        <w:rPr>
          <w:rFonts w:ascii="仿宋" w:eastAsia="仿宋" w:hAnsi="仿宋"/>
          <w:sz w:val="28"/>
          <w:szCs w:val="28"/>
        </w:rPr>
        <w:t>0</w:t>
      </w:r>
      <w:r>
        <w:rPr>
          <w:rFonts w:ascii="仿宋" w:eastAsia="仿宋" w:hAnsi="仿宋" w:hint="eastAsia"/>
          <w:sz w:val="28"/>
          <w:szCs w:val="28"/>
        </w:rPr>
        <w:t>分，投标报价与转让底价相同的，得基本分</w:t>
      </w:r>
      <w:r>
        <w:rPr>
          <w:rFonts w:ascii="仿宋" w:eastAsia="仿宋" w:hAnsi="仿宋"/>
          <w:sz w:val="28"/>
          <w:szCs w:val="28"/>
        </w:rPr>
        <w:t>25</w:t>
      </w:r>
      <w:r>
        <w:rPr>
          <w:rFonts w:ascii="仿宋" w:eastAsia="仿宋" w:hAnsi="仿宋" w:hint="eastAsia"/>
          <w:sz w:val="28"/>
          <w:szCs w:val="28"/>
        </w:rPr>
        <w:t>分。</w:t>
      </w:r>
    </w:p>
    <w:p w:rsidR="00B07D02" w:rsidRDefault="000264ED">
      <w:pPr>
        <w:spacing w:line="580" w:lineRule="exact"/>
        <w:ind w:firstLineChars="200" w:firstLine="527"/>
        <w:rPr>
          <w:rFonts w:ascii="仿宋" w:eastAsia="仿宋" w:hAnsi="仿宋"/>
          <w:sz w:val="28"/>
          <w:szCs w:val="28"/>
        </w:rPr>
      </w:pPr>
      <w:r>
        <w:rPr>
          <w:rFonts w:ascii="仿宋" w:eastAsia="仿宋" w:hAnsi="仿宋"/>
          <w:sz w:val="28"/>
          <w:szCs w:val="28"/>
        </w:rPr>
        <w:t>B</w:t>
      </w:r>
      <w:r>
        <w:rPr>
          <w:rFonts w:ascii="仿宋" w:eastAsia="仿宋" w:hAnsi="仿宋" w:hint="eastAsia"/>
          <w:sz w:val="28"/>
          <w:szCs w:val="28"/>
        </w:rPr>
        <w:t>、其他投标人根据投标最高报价的情况分为以下计分方式：</w:t>
      </w:r>
    </w:p>
    <w:p w:rsidR="00B07D02" w:rsidRDefault="000264ED">
      <w:pPr>
        <w:spacing w:line="580" w:lineRule="exac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投标报价</w:t>
      </w:r>
      <w:r>
        <w:rPr>
          <w:rFonts w:ascii="仿宋" w:eastAsia="仿宋" w:hAnsi="仿宋"/>
          <w:sz w:val="28"/>
          <w:szCs w:val="28"/>
        </w:rPr>
        <w:t>-</w:t>
      </w:r>
      <w:r>
        <w:rPr>
          <w:rFonts w:ascii="仿宋" w:eastAsia="仿宋" w:hAnsi="仿宋" w:hint="eastAsia"/>
          <w:sz w:val="28"/>
          <w:szCs w:val="28"/>
        </w:rPr>
        <w:t>转让底价</w:t>
      </w:r>
    </w:p>
    <w:p w:rsidR="00B07D02" w:rsidRDefault="000264ED">
      <w:pPr>
        <w:spacing w:line="580" w:lineRule="exact"/>
        <w:ind w:firstLineChars="200" w:firstLine="387"/>
        <w:jc w:val="left"/>
        <w:rPr>
          <w:rFonts w:ascii="仿宋" w:eastAsia="仿宋" w:hAnsi="仿宋"/>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2867025</wp:posOffset>
                </wp:positionH>
                <wp:positionV relativeFrom="paragraph">
                  <wp:posOffset>198120</wp:posOffset>
                </wp:positionV>
                <wp:extent cx="1583690" cy="0"/>
                <wp:effectExtent l="0" t="0" r="0" b="0"/>
                <wp:wrapNone/>
                <wp:docPr id="1" name="直线 2"/>
                <wp:cNvGraphicFramePr/>
                <a:graphic xmlns:a="http://schemas.openxmlformats.org/drawingml/2006/main">
                  <a:graphicData uri="http://schemas.microsoft.com/office/word/2010/wordprocessingShape">
                    <wps:wsp>
                      <wps:cNvCnPr/>
                      <wps:spPr>
                        <a:xfrm>
                          <a:off x="0" y="0"/>
                          <a:ext cx="158369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F454C2E" id="直线 2"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225.75pt,15.6pt" to="350.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8jywEAAIEDAAAOAAAAZHJzL2Uyb0RvYy54bWysU0tuGzEM3RfIHQTt67FdOEgGHmcRN90U&#10;rYE2B6D1mRGgH0TFY5+l1+iqmx4n1yglO07SboqiXsgURT7yPXKWN3tn2U4lNMF3fDaZcqa8CNL4&#10;vuP3X+/eXnGGGbwEG7zq+EEhv1ldvFmOsVXzMAQrVWIE4rEdY8eHnGPbNCgG5QAnISpPjzokB5mu&#10;qW9kgpHQnW3m0+llM4YkYwpCIZJ3fXzkq4qvtRL5s9aoMrMdp95yPVM9t+VsVkto+wRxMOLUBvxD&#10;Fw6Mp6JnqDVkYA/J/AHljEgBg84TEVwTtDZCVQ7EZjb9jc2XAaKqXEgcjGeZ8P/Bik+7TWJG0uw4&#10;8+BoRI/fvj/++MnmRZsxYksht36TTjeMm1SI7nVy5Z8osH3V83DWU+0zE+ScLa7eXV6T7OLprXlO&#10;jAnzBxUcK0bHrfGFKrSw+4iZilHoU0hxW8/Gjl8v5guCA9oUbSGT6SL1jr6vuRiskXfG2pKBqd/e&#10;2sR2UGZff4US4b4KK0XWgMMxrj4dt2JQIN97yfIhkiqe1peXFpySnFlF214sAoQ2g7F/E0mlracO&#10;iqpHHYu1DfJQ5a1+mnPt8bSTZZFe3mv285ez+gUAAP//AwBQSwMEFAAGAAgAAAAhAAtz/WneAAAA&#10;CQEAAA8AAABkcnMvZG93bnJldi54bWxMj8FOwzAMhu9IvENkJC4TS9oxGKXphGC9cWGAdvUa01Y0&#10;TtdkW8fTE8QBjrY//f7+fDnaThxo8K1jDclUgSCunGm51vD2Wl4tQPiAbLBzTBpO5GFZnJ/lmBl3&#10;5Bc6rEMtYgj7DDU0IfSZlL5qyKKfup443j7cYDHEcailGfAYw20nU6VupMWW44cGe3psqPpc760G&#10;X77TrvyaVBO1mdWO0t3T8wq1vrwYH+5BBBrDHww/+lEdiui0dXs2XnQarufJPKIaZkkKIgK3St2B&#10;2P4uZJHL/w2KbwAAAP//AwBQSwECLQAUAAYACAAAACEAtoM4kv4AAADhAQAAEwAAAAAAAAAAAAAA&#10;AAAAAAAAW0NvbnRlbnRfVHlwZXNdLnhtbFBLAQItABQABgAIAAAAIQA4/SH/1gAAAJQBAAALAAAA&#10;AAAAAAAAAAAAAC8BAABfcmVscy8ucmVsc1BLAQItABQABgAIAAAAIQBsrr8jywEAAIEDAAAOAAAA&#10;AAAAAAAAAAAAAC4CAABkcnMvZTJvRG9jLnhtbFBLAQItABQABgAIAAAAIQALc/1p3gAAAAkBAAAP&#10;AAAAAAAAAAAAAAAAACUEAABkcnMvZG93bnJldi54bWxQSwUGAAAAAAQABADzAAAAMAUAAAAA&#10;"/>
            </w:pict>
          </mc:Fallback>
        </mc:AlternateContent>
      </w:r>
      <w:r>
        <w:rPr>
          <w:rFonts w:ascii="仿宋" w:eastAsia="仿宋" w:hAnsi="仿宋" w:hint="eastAsia"/>
          <w:sz w:val="28"/>
          <w:szCs w:val="28"/>
        </w:rPr>
        <w:t>其他投标人的报价得分：</w:t>
      </w:r>
      <w:r>
        <w:rPr>
          <w:rFonts w:ascii="仿宋" w:eastAsia="仿宋" w:hAnsi="仿宋"/>
          <w:sz w:val="28"/>
          <w:szCs w:val="28"/>
        </w:rPr>
        <w:t xml:space="preserve">F = 25 +                     </w:t>
      </w:r>
      <w:r>
        <w:rPr>
          <w:rFonts w:ascii="仿宋" w:eastAsia="仿宋" w:hAnsi="仿宋" w:hint="eastAsia"/>
          <w:sz w:val="28"/>
          <w:szCs w:val="28"/>
        </w:rPr>
        <w:t>×</w:t>
      </w:r>
      <w:r>
        <w:rPr>
          <w:rFonts w:ascii="仿宋" w:eastAsia="仿宋" w:hAnsi="仿宋" w:hint="eastAsia"/>
          <w:sz w:val="28"/>
          <w:szCs w:val="28"/>
        </w:rPr>
        <w:t>15</w:t>
      </w:r>
      <w:r>
        <w:rPr>
          <w:rFonts w:ascii="仿宋" w:eastAsia="仿宋" w:hAnsi="仿宋" w:hint="eastAsia"/>
          <w:sz w:val="28"/>
          <w:szCs w:val="28"/>
        </w:rPr>
        <w:t>分</w:t>
      </w:r>
    </w:p>
    <w:p w:rsidR="00B07D02" w:rsidRDefault="000264ED">
      <w:pPr>
        <w:spacing w:line="580" w:lineRule="exac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最高报价</w:t>
      </w:r>
      <w:r>
        <w:rPr>
          <w:rFonts w:ascii="仿宋" w:eastAsia="仿宋" w:hAnsi="仿宋"/>
          <w:sz w:val="28"/>
          <w:szCs w:val="28"/>
        </w:rPr>
        <w:t>-</w:t>
      </w:r>
      <w:r>
        <w:rPr>
          <w:rFonts w:ascii="仿宋" w:eastAsia="仿宋" w:hAnsi="仿宋" w:hint="eastAsia"/>
          <w:sz w:val="28"/>
          <w:szCs w:val="28"/>
        </w:rPr>
        <w:t>转让底价</w:t>
      </w:r>
    </w:p>
    <w:p w:rsidR="00B07D02" w:rsidRDefault="000264ED">
      <w:pPr>
        <w:spacing w:line="580" w:lineRule="exact"/>
        <w:ind w:firstLineChars="200" w:firstLine="527"/>
        <w:rPr>
          <w:rFonts w:ascii="仿宋" w:eastAsia="仿宋" w:hAnsi="仿宋"/>
          <w:sz w:val="28"/>
          <w:szCs w:val="28"/>
        </w:rPr>
      </w:pPr>
      <w:r>
        <w:rPr>
          <w:rFonts w:ascii="仿宋" w:eastAsia="仿宋" w:hAnsi="仿宋"/>
          <w:sz w:val="28"/>
          <w:szCs w:val="28"/>
        </w:rPr>
        <w:t>C</w:t>
      </w:r>
      <w:r>
        <w:rPr>
          <w:rFonts w:ascii="仿宋" w:eastAsia="仿宋" w:hAnsi="仿宋" w:hint="eastAsia"/>
          <w:sz w:val="28"/>
          <w:szCs w:val="28"/>
        </w:rPr>
        <w:t>、低于转让底价的投标报价为无效。</w:t>
      </w:r>
    </w:p>
    <w:p w:rsidR="00B07D02" w:rsidRDefault="000264ED">
      <w:pPr>
        <w:spacing w:line="580" w:lineRule="exact"/>
        <w:ind w:firstLineChars="200" w:firstLine="527"/>
        <w:rPr>
          <w:rFonts w:ascii="仿宋" w:eastAsia="仿宋" w:hAnsi="仿宋"/>
          <w:sz w:val="28"/>
          <w:szCs w:val="28"/>
        </w:rPr>
      </w:pPr>
      <w:r>
        <w:rPr>
          <w:rFonts w:ascii="仿宋" w:eastAsia="仿宋" w:hAnsi="仿宋"/>
          <w:sz w:val="28"/>
          <w:szCs w:val="28"/>
        </w:rPr>
        <w:t>D</w:t>
      </w:r>
      <w:r>
        <w:rPr>
          <w:rFonts w:ascii="仿宋" w:eastAsia="仿宋" w:hAnsi="仿宋" w:hint="eastAsia"/>
          <w:sz w:val="28"/>
          <w:szCs w:val="28"/>
        </w:rPr>
        <w:t>、本项的最终计算分值保留小数点后两位。</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二、投标人对转让相关条件的承诺及保证措施（满分</w:t>
      </w:r>
      <w:r>
        <w:rPr>
          <w:rFonts w:ascii="仿宋" w:eastAsia="仿宋" w:hAnsi="仿宋" w:hint="eastAsia"/>
          <w:sz w:val="28"/>
          <w:szCs w:val="28"/>
        </w:rPr>
        <w:t>35</w:t>
      </w:r>
      <w:r>
        <w:rPr>
          <w:rFonts w:ascii="仿宋" w:eastAsia="仿宋" w:hAnsi="仿宋" w:hint="eastAsia"/>
          <w:sz w:val="28"/>
          <w:szCs w:val="28"/>
        </w:rPr>
        <w:t>分）</w:t>
      </w:r>
    </w:p>
    <w:p w:rsidR="00B07D02" w:rsidRDefault="000264ED">
      <w:pPr>
        <w:spacing w:line="570" w:lineRule="exact"/>
        <w:ind w:firstLine="645"/>
        <w:rPr>
          <w:rFonts w:ascii="仿宋" w:eastAsia="仿宋" w:hAnsi="仿宋"/>
          <w:sz w:val="32"/>
          <w:szCs w:val="32"/>
        </w:rPr>
      </w:pPr>
      <w:r>
        <w:rPr>
          <w:rFonts w:ascii="仿宋" w:eastAsia="仿宋" w:hAnsi="仿宋" w:hint="eastAsia"/>
          <w:sz w:val="28"/>
          <w:szCs w:val="28"/>
        </w:rPr>
        <w:t>评标委员会将依据挂牌公告交易条件以及对应保证措施对投标人递交的投标文件进行综合分析和评价。</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（一）投标人对转让相关条件的承诺。</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（二）投标人对于履行承诺的保障措施。</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（三）投标人不按承诺履行的违约责任。</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（四）投标人的受让资格条件。</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（五）投标人的开发资质、资信状况、销售业绩、管理能力、开发经验及水平。</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三、债务处理措施及相应保障（满分</w:t>
      </w:r>
      <w:r>
        <w:rPr>
          <w:rFonts w:ascii="仿宋" w:eastAsia="仿宋" w:hAnsi="仿宋" w:hint="eastAsia"/>
          <w:sz w:val="28"/>
          <w:szCs w:val="28"/>
        </w:rPr>
        <w:t>2</w:t>
      </w:r>
      <w:r>
        <w:rPr>
          <w:rFonts w:ascii="仿宋" w:eastAsia="仿宋" w:hAnsi="仿宋" w:hint="eastAsia"/>
          <w:sz w:val="28"/>
          <w:szCs w:val="28"/>
        </w:rPr>
        <w:t>5</w:t>
      </w:r>
      <w:r>
        <w:rPr>
          <w:rFonts w:ascii="仿宋" w:eastAsia="仿宋" w:hAnsi="仿宋" w:hint="eastAsia"/>
          <w:sz w:val="28"/>
          <w:szCs w:val="28"/>
        </w:rPr>
        <w:t>分）</w:t>
      </w:r>
    </w:p>
    <w:p w:rsidR="00B07D02" w:rsidRDefault="000264ED">
      <w:pPr>
        <w:spacing w:line="580" w:lineRule="exact"/>
        <w:ind w:firstLineChars="200" w:firstLine="527"/>
        <w:rPr>
          <w:rFonts w:ascii="仿宋" w:eastAsia="仿宋" w:hAnsi="仿宋"/>
          <w:sz w:val="28"/>
          <w:szCs w:val="28"/>
        </w:rPr>
      </w:pPr>
      <w:r>
        <w:rPr>
          <w:rFonts w:ascii="仿宋" w:eastAsia="仿宋" w:hAnsi="仿宋" w:hint="eastAsia"/>
          <w:sz w:val="28"/>
          <w:szCs w:val="28"/>
        </w:rPr>
        <w:t>根据投标人提交的债权债务处理方案以及提供的履约保障措施进行判断、评分。</w:t>
      </w:r>
    </w:p>
    <w:sectPr w:rsidR="00B07D02">
      <w:pgSz w:w="11906" w:h="16838"/>
      <w:pgMar w:top="1440" w:right="1797" w:bottom="1440" w:left="1797" w:header="851" w:footer="992" w:gutter="0"/>
      <w:cols w:space="720"/>
      <w:docGrid w:type="linesAndChars" w:linePitch="290"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4ED" w:rsidRDefault="000264ED" w:rsidP="00987EF3">
      <w:r>
        <w:separator/>
      </w:r>
    </w:p>
  </w:endnote>
  <w:endnote w:type="continuationSeparator" w:id="0">
    <w:p w:rsidR="000264ED" w:rsidRDefault="000264ED" w:rsidP="0098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4ED" w:rsidRDefault="000264ED" w:rsidP="00987EF3">
      <w:r>
        <w:separator/>
      </w:r>
    </w:p>
  </w:footnote>
  <w:footnote w:type="continuationSeparator" w:id="0">
    <w:p w:rsidR="000264ED" w:rsidRDefault="000264ED" w:rsidP="00987E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defaultTabStop w:val="420"/>
  <w:drawingGridHorizontalSpacing w:val="193"/>
  <w:drawingGridVerticalSpacing w:val="145"/>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163D"/>
    <w:rsid w:val="000264ED"/>
    <w:rsid w:val="000953C6"/>
    <w:rsid w:val="00135839"/>
    <w:rsid w:val="00145347"/>
    <w:rsid w:val="00172A27"/>
    <w:rsid w:val="00181413"/>
    <w:rsid w:val="001B1452"/>
    <w:rsid w:val="00221D75"/>
    <w:rsid w:val="002671F9"/>
    <w:rsid w:val="002752A4"/>
    <w:rsid w:val="002F657D"/>
    <w:rsid w:val="00303E13"/>
    <w:rsid w:val="00311266"/>
    <w:rsid w:val="00315A1D"/>
    <w:rsid w:val="00330E0F"/>
    <w:rsid w:val="00333A41"/>
    <w:rsid w:val="00343D2E"/>
    <w:rsid w:val="00351E6A"/>
    <w:rsid w:val="003C328D"/>
    <w:rsid w:val="003C5DA6"/>
    <w:rsid w:val="0041071A"/>
    <w:rsid w:val="00452C0E"/>
    <w:rsid w:val="004D4F9A"/>
    <w:rsid w:val="004E7D6C"/>
    <w:rsid w:val="005F6CD2"/>
    <w:rsid w:val="006965F3"/>
    <w:rsid w:val="006D743B"/>
    <w:rsid w:val="007A3AB5"/>
    <w:rsid w:val="007A5419"/>
    <w:rsid w:val="008001A7"/>
    <w:rsid w:val="00830004"/>
    <w:rsid w:val="00844F2F"/>
    <w:rsid w:val="00887C29"/>
    <w:rsid w:val="008C0F0F"/>
    <w:rsid w:val="008D4F1B"/>
    <w:rsid w:val="008D55DD"/>
    <w:rsid w:val="00934EC6"/>
    <w:rsid w:val="00935199"/>
    <w:rsid w:val="00977194"/>
    <w:rsid w:val="00987EF3"/>
    <w:rsid w:val="009967F4"/>
    <w:rsid w:val="009E5CCF"/>
    <w:rsid w:val="00A00FB5"/>
    <w:rsid w:val="00A07075"/>
    <w:rsid w:val="00A15284"/>
    <w:rsid w:val="00A74CA8"/>
    <w:rsid w:val="00AB41CE"/>
    <w:rsid w:val="00AD57C2"/>
    <w:rsid w:val="00B079BA"/>
    <w:rsid w:val="00B07D02"/>
    <w:rsid w:val="00BB4896"/>
    <w:rsid w:val="00CC031D"/>
    <w:rsid w:val="00D622FD"/>
    <w:rsid w:val="00D76989"/>
    <w:rsid w:val="00DD3875"/>
    <w:rsid w:val="00E12B5F"/>
    <w:rsid w:val="00E27B48"/>
    <w:rsid w:val="00E346F7"/>
    <w:rsid w:val="00E354A5"/>
    <w:rsid w:val="00EB7AED"/>
    <w:rsid w:val="00F76789"/>
    <w:rsid w:val="00F97E74"/>
    <w:rsid w:val="00FE24F3"/>
    <w:rsid w:val="02693EC8"/>
    <w:rsid w:val="02C35458"/>
    <w:rsid w:val="044B1D08"/>
    <w:rsid w:val="05E139D5"/>
    <w:rsid w:val="05E72B7C"/>
    <w:rsid w:val="060E2EE7"/>
    <w:rsid w:val="0978529D"/>
    <w:rsid w:val="0B6052EC"/>
    <w:rsid w:val="108647CA"/>
    <w:rsid w:val="13211A7D"/>
    <w:rsid w:val="149A7B85"/>
    <w:rsid w:val="16D874C5"/>
    <w:rsid w:val="183E3AA7"/>
    <w:rsid w:val="1D1D2616"/>
    <w:rsid w:val="1EAA4877"/>
    <w:rsid w:val="22417637"/>
    <w:rsid w:val="2292080A"/>
    <w:rsid w:val="23842DCA"/>
    <w:rsid w:val="299A69F6"/>
    <w:rsid w:val="2A4D6EA0"/>
    <w:rsid w:val="2B5C479F"/>
    <w:rsid w:val="2B72726F"/>
    <w:rsid w:val="2DE54550"/>
    <w:rsid w:val="33C40AC0"/>
    <w:rsid w:val="360B20ED"/>
    <w:rsid w:val="378750D6"/>
    <w:rsid w:val="384A6D84"/>
    <w:rsid w:val="3A6F45A4"/>
    <w:rsid w:val="3DDF6566"/>
    <w:rsid w:val="3F5A1FA3"/>
    <w:rsid w:val="3F5D42C9"/>
    <w:rsid w:val="454F0D33"/>
    <w:rsid w:val="456D23A5"/>
    <w:rsid w:val="463953E2"/>
    <w:rsid w:val="487103F9"/>
    <w:rsid w:val="49971B44"/>
    <w:rsid w:val="4AA23E5D"/>
    <w:rsid w:val="4BCC0682"/>
    <w:rsid w:val="4BF8003F"/>
    <w:rsid w:val="4E201C91"/>
    <w:rsid w:val="536671E5"/>
    <w:rsid w:val="54031EB0"/>
    <w:rsid w:val="56D77D57"/>
    <w:rsid w:val="59DF670C"/>
    <w:rsid w:val="5A0668DC"/>
    <w:rsid w:val="5A2D2350"/>
    <w:rsid w:val="5F4F7FBF"/>
    <w:rsid w:val="61BE109E"/>
    <w:rsid w:val="63F81CAC"/>
    <w:rsid w:val="64BE5D94"/>
    <w:rsid w:val="65AC48A9"/>
    <w:rsid w:val="6A2D54CF"/>
    <w:rsid w:val="6C481C5E"/>
    <w:rsid w:val="6D7770F2"/>
    <w:rsid w:val="6DCD6A87"/>
    <w:rsid w:val="6FE56BA4"/>
    <w:rsid w:val="706B367D"/>
    <w:rsid w:val="735120E2"/>
    <w:rsid w:val="73E006AE"/>
    <w:rsid w:val="74A22F7A"/>
    <w:rsid w:val="78C801BF"/>
    <w:rsid w:val="78E01C92"/>
    <w:rsid w:val="793A0394"/>
    <w:rsid w:val="79F67C32"/>
    <w:rsid w:val="7AF14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721F1629-8188-4683-9516-651B0A3D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kern w:val="0"/>
      <w:sz w:val="2"/>
      <w:szCs w:val="20"/>
    </w:rPr>
  </w:style>
  <w:style w:type="paragraph" w:styleId="a4">
    <w:name w:val="footer"/>
    <w:basedOn w:val="a"/>
    <w:link w:val="Char0"/>
    <w:uiPriority w:val="99"/>
    <w:semiHidden/>
    <w:pPr>
      <w:tabs>
        <w:tab w:val="center" w:pos="4153"/>
        <w:tab w:val="right" w:pos="8306"/>
      </w:tabs>
      <w:snapToGrid w:val="0"/>
      <w:jc w:val="left"/>
    </w:pPr>
    <w:rPr>
      <w:sz w:val="18"/>
      <w:szCs w:val="18"/>
    </w:rPr>
  </w:style>
  <w:style w:type="paragraph" w:styleId="a5">
    <w:name w:val="header"/>
    <w:basedOn w:val="a"/>
    <w:link w:val="Char1"/>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locked/>
    <w:rPr>
      <w:sz w:val="2"/>
    </w:rPr>
  </w:style>
  <w:style w:type="character" w:customStyle="1" w:styleId="Char0">
    <w:name w:val="页脚 Char"/>
    <w:basedOn w:val="a0"/>
    <w:link w:val="a4"/>
    <w:uiPriority w:val="99"/>
    <w:semiHidden/>
    <w:qFormat/>
    <w:locked/>
    <w:rPr>
      <w:kern w:val="2"/>
      <w:sz w:val="18"/>
    </w:rPr>
  </w:style>
  <w:style w:type="character" w:customStyle="1" w:styleId="Char1">
    <w:name w:val="页眉 Char"/>
    <w:basedOn w:val="a0"/>
    <w:link w:val="a5"/>
    <w:uiPriority w:val="99"/>
    <w:semiHidden/>
    <w:qFormat/>
    <w:locked/>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77</Words>
  <Characters>443</Characters>
  <Application>Microsoft Office Word</Application>
  <DocSecurity>0</DocSecurity>
  <Lines>3</Lines>
  <Paragraphs>1</Paragraphs>
  <ScaleCrop>false</ScaleCrop>
  <Company>Lenovo (Beijing) Limited</Company>
  <LinksUpToDate>false</LinksUpToDate>
  <CharactersWithSpaces>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招投标评分办法实施说明</dc:title>
  <dc:creator>Lenovo User</dc:creator>
  <cp:lastModifiedBy>admin</cp:lastModifiedBy>
  <cp:revision>3</cp:revision>
  <cp:lastPrinted>2013-05-06T06:26:00Z</cp:lastPrinted>
  <dcterms:created xsi:type="dcterms:W3CDTF">2019-03-12T06:10:00Z</dcterms:created>
  <dcterms:modified xsi:type="dcterms:W3CDTF">2020-09-01T03:24:00Z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